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976FAB" w:rsidRDefault="00976FAB" w:rsidP="00976FAB">
      <w:r>
        <w:t>Many control measures need cost little, if anything, to put in place, so consider behavioural or procedural measures (a Safe System of Work) before specifying equipment.  Do bear in mind the cost of staff time however.</w:t>
      </w:r>
    </w:p>
    <w:p w:rsidR="00E97D73" w:rsidRDefault="00E97D73" w:rsidP="00E97D73">
      <w:pPr>
        <w:pStyle w:val="Heading1"/>
      </w:pPr>
      <w:bookmarkStart w:id="0" w:name="_GoBack"/>
      <w:bookmarkEnd w:id="0"/>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9D14B8" w:rsidP="00E36FE3">
      <w:pPr>
        <w:pStyle w:val="Subtitle"/>
        <w:jc w:val="center"/>
      </w:pPr>
      <w:r>
        <w:t>Rock and Pop groups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E36FE3">
      <w:r>
        <w:t>State what the activity is.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9D14B8" w:rsidRDefault="009D14B8">
      <w:r>
        <w:t>You may also want to refer to risk assessments for electrical equipment, manual handling and noise.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650F5">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650F5">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9D14B8" w:rsidP="00B11178">
            <w:pPr>
              <w:jc w:val="left"/>
            </w:pPr>
            <w:r>
              <w:t>Airborne transmission</w:t>
            </w:r>
          </w:p>
        </w:tc>
        <w:tc>
          <w:tcPr>
            <w:tcW w:w="1559" w:type="dxa"/>
          </w:tcPr>
          <w:p w:rsidR="00307118" w:rsidRDefault="00AC4C5D" w:rsidP="00B11178">
            <w:pPr>
              <w:jc w:val="left"/>
            </w:pPr>
            <w:r>
              <w:t>Students</w:t>
            </w:r>
          </w:p>
        </w:tc>
        <w:tc>
          <w:tcPr>
            <w:tcW w:w="3394" w:type="dxa"/>
          </w:tcPr>
          <w:p w:rsidR="00307118" w:rsidRDefault="009D14B8" w:rsidP="00B11178">
            <w:pPr>
              <w:jc w:val="left"/>
            </w:pPr>
            <w:r>
              <w:t>Groups are small (</w:t>
            </w:r>
            <w:proofErr w:type="gramStart"/>
            <w:r>
              <w:t xml:space="preserve">max. </w:t>
            </w:r>
            <w:r w:rsidRPr="009D14B8">
              <w:rPr>
                <w:highlight w:val="yellow"/>
              </w:rPr>
              <w:t>?</w:t>
            </w:r>
            <w:proofErr w:type="gramEnd"/>
            <w:r>
              <w:t>) and matched to studio size.</w:t>
            </w:r>
          </w:p>
        </w:tc>
        <w:tc>
          <w:tcPr>
            <w:tcW w:w="1374" w:type="dxa"/>
          </w:tcPr>
          <w:p w:rsidR="00307118" w:rsidRDefault="00307118" w:rsidP="00B11178">
            <w:pPr>
              <w:jc w:val="left"/>
            </w:pPr>
          </w:p>
        </w:tc>
      </w:tr>
      <w:tr w:rsidR="00307118" w:rsidTr="006650F5">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9D14B8" w:rsidP="00B11178">
            <w:pPr>
              <w:jc w:val="left"/>
            </w:pPr>
            <w:r>
              <w:t>Airborne transmission</w:t>
            </w:r>
          </w:p>
        </w:tc>
        <w:tc>
          <w:tcPr>
            <w:tcW w:w="1559" w:type="dxa"/>
          </w:tcPr>
          <w:p w:rsidR="006650F5" w:rsidRDefault="006650F5" w:rsidP="00B11178">
            <w:pPr>
              <w:jc w:val="left"/>
            </w:pPr>
            <w:r>
              <w:t>Students</w:t>
            </w:r>
          </w:p>
          <w:p w:rsidR="00307118" w:rsidRDefault="00AC4C5D" w:rsidP="00B11178">
            <w:pPr>
              <w:jc w:val="left"/>
            </w:pPr>
            <w:r>
              <w:t>Adults</w:t>
            </w:r>
          </w:p>
        </w:tc>
        <w:tc>
          <w:tcPr>
            <w:tcW w:w="3394" w:type="dxa"/>
          </w:tcPr>
          <w:p w:rsidR="00307118" w:rsidRDefault="006650F5" w:rsidP="00B11178">
            <w:pPr>
              <w:jc w:val="left"/>
            </w:pPr>
            <w:r>
              <w:t>Social distancing applies.  Singers, sax and brass players are allowed additional space (up to 3m).</w:t>
            </w:r>
          </w:p>
        </w:tc>
        <w:tc>
          <w:tcPr>
            <w:tcW w:w="1374" w:type="dxa"/>
          </w:tcPr>
          <w:p w:rsidR="00307118" w:rsidRDefault="00307118" w:rsidP="00B11178">
            <w:pPr>
              <w:jc w:val="left"/>
            </w:pPr>
          </w:p>
        </w:tc>
      </w:tr>
      <w:tr w:rsidR="00307118" w:rsidTr="006650F5">
        <w:tc>
          <w:tcPr>
            <w:tcW w:w="387" w:type="dxa"/>
            <w:tcBorders>
              <w:right w:val="single" w:sz="4" w:space="0" w:color="A6A6A6" w:themeColor="background1" w:themeShade="A6"/>
            </w:tcBorders>
          </w:tcPr>
          <w:p w:rsidR="00307118" w:rsidRDefault="00307118">
            <w:r>
              <w:t>3</w:t>
            </w:r>
          </w:p>
        </w:tc>
        <w:tc>
          <w:tcPr>
            <w:tcW w:w="2302" w:type="dxa"/>
            <w:tcBorders>
              <w:left w:val="single" w:sz="4" w:space="0" w:color="A6A6A6" w:themeColor="background1" w:themeShade="A6"/>
            </w:tcBorders>
          </w:tcPr>
          <w:p w:rsidR="00307118" w:rsidRDefault="006650F5" w:rsidP="00B11178">
            <w:pPr>
              <w:jc w:val="left"/>
            </w:pPr>
            <w:r>
              <w:t>Surface transmission</w:t>
            </w:r>
          </w:p>
        </w:tc>
        <w:tc>
          <w:tcPr>
            <w:tcW w:w="1559" w:type="dxa"/>
          </w:tcPr>
          <w:p w:rsidR="00307118" w:rsidRDefault="006650F5" w:rsidP="00B11178">
            <w:pPr>
              <w:jc w:val="left"/>
            </w:pPr>
            <w:r>
              <w:t>Students</w:t>
            </w:r>
          </w:p>
          <w:p w:rsidR="006650F5" w:rsidRDefault="006650F5" w:rsidP="00B11178">
            <w:pPr>
              <w:jc w:val="left"/>
            </w:pPr>
            <w:r>
              <w:t>Adults</w:t>
            </w:r>
          </w:p>
        </w:tc>
        <w:tc>
          <w:tcPr>
            <w:tcW w:w="3394" w:type="dxa"/>
          </w:tcPr>
          <w:p w:rsidR="00307118" w:rsidRDefault="006650F5" w:rsidP="00B11178">
            <w:pPr>
              <w:jc w:val="left"/>
            </w:pPr>
            <w:r>
              <w:t>All shared equipment is wiped down when groups changeover.</w:t>
            </w:r>
          </w:p>
          <w:p w:rsidR="006650F5" w:rsidRDefault="006650F5" w:rsidP="00B11178">
            <w:pPr>
              <w:jc w:val="left"/>
            </w:pPr>
            <w:r>
              <w:t xml:space="preserve">Sax and brass players </w:t>
            </w:r>
            <w:r w:rsidR="005561AF">
              <w:t xml:space="preserve">have </w:t>
            </w:r>
            <w:r>
              <w:t xml:space="preserve">own instruments; no </w:t>
            </w:r>
            <w:r w:rsidR="005561AF">
              <w:t xml:space="preserve">reeds </w:t>
            </w:r>
            <w:r>
              <w:t>shar</w:t>
            </w:r>
            <w:r w:rsidR="005561AF">
              <w:t>ed</w:t>
            </w:r>
            <w:r>
              <w:t>.</w:t>
            </w:r>
          </w:p>
        </w:tc>
        <w:tc>
          <w:tcPr>
            <w:tcW w:w="1374" w:type="dxa"/>
          </w:tcPr>
          <w:p w:rsidR="00307118" w:rsidRDefault="00307118" w:rsidP="00B11178">
            <w:pPr>
              <w:jc w:val="left"/>
            </w:pPr>
          </w:p>
        </w:tc>
      </w:tr>
      <w:tr w:rsidR="006650F5" w:rsidTr="006650F5">
        <w:tc>
          <w:tcPr>
            <w:tcW w:w="387" w:type="dxa"/>
            <w:tcBorders>
              <w:right w:val="single" w:sz="4" w:space="0" w:color="A6A6A6" w:themeColor="background1" w:themeShade="A6"/>
            </w:tcBorders>
          </w:tcPr>
          <w:p w:rsidR="006650F5" w:rsidRDefault="006650F5" w:rsidP="006650F5">
            <w:r>
              <w:t>4</w:t>
            </w:r>
          </w:p>
        </w:tc>
        <w:tc>
          <w:tcPr>
            <w:tcW w:w="2302" w:type="dxa"/>
            <w:tcBorders>
              <w:left w:val="single" w:sz="4" w:space="0" w:color="A6A6A6" w:themeColor="background1" w:themeShade="A6"/>
            </w:tcBorders>
          </w:tcPr>
          <w:p w:rsidR="006650F5" w:rsidRDefault="006650F5" w:rsidP="006650F5">
            <w:pPr>
              <w:jc w:val="left"/>
            </w:pPr>
            <w:r>
              <w:t>Surface transmission</w:t>
            </w:r>
          </w:p>
        </w:tc>
        <w:tc>
          <w:tcPr>
            <w:tcW w:w="1559" w:type="dxa"/>
          </w:tcPr>
          <w:p w:rsidR="006650F5" w:rsidRDefault="006650F5" w:rsidP="006650F5">
            <w:pPr>
              <w:jc w:val="left"/>
            </w:pPr>
            <w:r>
              <w:t>Students</w:t>
            </w:r>
          </w:p>
          <w:p w:rsidR="006650F5" w:rsidRDefault="006650F5" w:rsidP="006650F5">
            <w:pPr>
              <w:jc w:val="left"/>
            </w:pPr>
            <w:r>
              <w:t>Adults</w:t>
            </w:r>
          </w:p>
        </w:tc>
        <w:tc>
          <w:tcPr>
            <w:tcW w:w="3394" w:type="dxa"/>
          </w:tcPr>
          <w:p w:rsidR="006650F5" w:rsidRDefault="006650F5" w:rsidP="006650F5">
            <w:pPr>
              <w:jc w:val="left"/>
            </w:pPr>
            <w:r>
              <w:t>One stand to a player.</w:t>
            </w:r>
          </w:p>
          <w:p w:rsidR="006650F5" w:rsidRDefault="006650F5" w:rsidP="006650F5">
            <w:pPr>
              <w:jc w:val="left"/>
            </w:pPr>
            <w:r>
              <w:t>Can each member have their own music, pencil etc?</w:t>
            </w:r>
          </w:p>
        </w:tc>
        <w:tc>
          <w:tcPr>
            <w:tcW w:w="1374" w:type="dxa"/>
          </w:tcPr>
          <w:p w:rsidR="006650F5" w:rsidRDefault="006650F5" w:rsidP="006650F5">
            <w:pPr>
              <w:jc w:val="left"/>
            </w:pPr>
          </w:p>
        </w:tc>
      </w:tr>
      <w:tr w:rsidR="006650F5" w:rsidTr="006650F5">
        <w:tc>
          <w:tcPr>
            <w:tcW w:w="387" w:type="dxa"/>
            <w:tcBorders>
              <w:right w:val="single" w:sz="4" w:space="0" w:color="A6A6A6" w:themeColor="background1" w:themeShade="A6"/>
            </w:tcBorders>
          </w:tcPr>
          <w:p w:rsidR="006650F5" w:rsidRDefault="006650F5" w:rsidP="006650F5">
            <w:r>
              <w:t>5</w:t>
            </w:r>
          </w:p>
        </w:tc>
        <w:tc>
          <w:tcPr>
            <w:tcW w:w="2302" w:type="dxa"/>
            <w:tcBorders>
              <w:left w:val="single" w:sz="4" w:space="0" w:color="A6A6A6" w:themeColor="background1" w:themeShade="A6"/>
            </w:tcBorders>
          </w:tcPr>
          <w:p w:rsidR="006650F5" w:rsidRDefault="006650F5" w:rsidP="006650F5">
            <w:pPr>
              <w:jc w:val="left"/>
            </w:pPr>
          </w:p>
        </w:tc>
        <w:tc>
          <w:tcPr>
            <w:tcW w:w="1559" w:type="dxa"/>
          </w:tcPr>
          <w:p w:rsidR="006650F5" w:rsidRDefault="006650F5" w:rsidP="006650F5">
            <w:pPr>
              <w:jc w:val="left"/>
            </w:pPr>
          </w:p>
        </w:tc>
        <w:tc>
          <w:tcPr>
            <w:tcW w:w="3394" w:type="dxa"/>
          </w:tcPr>
          <w:p w:rsidR="006650F5" w:rsidRDefault="006650F5" w:rsidP="006650F5">
            <w:pPr>
              <w:jc w:val="left"/>
            </w:pPr>
          </w:p>
        </w:tc>
        <w:tc>
          <w:tcPr>
            <w:tcW w:w="1374" w:type="dxa"/>
          </w:tcPr>
          <w:p w:rsidR="006650F5" w:rsidRDefault="006650F5" w:rsidP="006650F5">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5E3425">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5E3425">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5E3425">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5E3425">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5E3425">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5E3425">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5E3425">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F03843" w:rsidRDefault="00F03843">
      <w:pPr>
        <w:spacing w:after="160" w:line="259" w:lineRule="auto"/>
        <w:rPr>
          <w:rFonts w:asciiTheme="majorHAnsi" w:eastAsiaTheme="majorEastAsia" w:hAnsiTheme="majorHAnsi" w:cstheme="majorBidi"/>
          <w:color w:val="2F5496" w:themeColor="accent1" w:themeShade="BF"/>
          <w:sz w:val="32"/>
          <w:szCs w:val="32"/>
        </w:rPr>
      </w:pPr>
      <w:r>
        <w:br w:type="page"/>
      </w:r>
    </w:p>
    <w:p w:rsidR="00307118" w:rsidRDefault="00307118" w:rsidP="00307118">
      <w:pPr>
        <w:pStyle w:val="Heading1"/>
      </w:pPr>
      <w:r>
        <w:lastRenderedPageBreak/>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701"/>
        <w:gridCol w:w="3252"/>
        <w:gridCol w:w="1374"/>
      </w:tblGrid>
      <w:tr w:rsidR="00665930" w:rsidRPr="00E36FE3" w:rsidTr="00E367A0">
        <w:tc>
          <w:tcPr>
            <w:tcW w:w="387" w:type="dxa"/>
            <w:tcBorders>
              <w:right w:val="single" w:sz="4" w:space="0" w:color="A6A6A6" w:themeColor="background1" w:themeShade="A6"/>
            </w:tcBorders>
          </w:tcPr>
          <w:p w:rsidR="00665930" w:rsidRPr="00E36FE3" w:rsidRDefault="00665930" w:rsidP="009D14B8">
            <w:pPr>
              <w:jc w:val="left"/>
              <w:rPr>
                <w:b/>
              </w:rPr>
            </w:pPr>
          </w:p>
        </w:tc>
        <w:tc>
          <w:tcPr>
            <w:tcW w:w="2302" w:type="dxa"/>
            <w:tcBorders>
              <w:left w:val="single" w:sz="4" w:space="0" w:color="A6A6A6" w:themeColor="background1" w:themeShade="A6"/>
            </w:tcBorders>
          </w:tcPr>
          <w:p w:rsidR="00665930" w:rsidRPr="00E36FE3" w:rsidRDefault="00665930" w:rsidP="009D14B8">
            <w:pPr>
              <w:jc w:val="left"/>
              <w:rPr>
                <w:b/>
              </w:rPr>
            </w:pPr>
            <w:r>
              <w:rPr>
                <w:b/>
              </w:rPr>
              <w:t>Hazard</w:t>
            </w:r>
          </w:p>
        </w:tc>
        <w:tc>
          <w:tcPr>
            <w:tcW w:w="1701" w:type="dxa"/>
          </w:tcPr>
          <w:p w:rsidR="00665930" w:rsidRPr="00E36FE3" w:rsidRDefault="00665930" w:rsidP="009D14B8">
            <w:pPr>
              <w:jc w:val="left"/>
              <w:rPr>
                <w:b/>
              </w:rPr>
            </w:pPr>
            <w:r>
              <w:rPr>
                <w:b/>
              </w:rPr>
              <w:t>Who is at risk?</w:t>
            </w:r>
          </w:p>
        </w:tc>
        <w:tc>
          <w:tcPr>
            <w:tcW w:w="3252" w:type="dxa"/>
          </w:tcPr>
          <w:p w:rsidR="00665930" w:rsidRPr="00E36FE3" w:rsidRDefault="00665930" w:rsidP="009D14B8">
            <w:pPr>
              <w:jc w:val="left"/>
              <w:rPr>
                <w:b/>
              </w:rPr>
            </w:pPr>
            <w:r>
              <w:rPr>
                <w:b/>
              </w:rPr>
              <w:t>Control measure(s)</w:t>
            </w:r>
          </w:p>
        </w:tc>
        <w:tc>
          <w:tcPr>
            <w:tcW w:w="1374" w:type="dxa"/>
          </w:tcPr>
          <w:p w:rsidR="00665930" w:rsidRPr="00E36FE3" w:rsidRDefault="00665930" w:rsidP="009D14B8">
            <w:pPr>
              <w:jc w:val="left"/>
              <w:rPr>
                <w:b/>
              </w:rPr>
            </w:pPr>
            <w:r>
              <w:rPr>
                <w:b/>
              </w:rPr>
              <w:t>Who is responsible?</w:t>
            </w:r>
          </w:p>
        </w:tc>
      </w:tr>
      <w:tr w:rsidR="00665930" w:rsidTr="00E367A0">
        <w:tc>
          <w:tcPr>
            <w:tcW w:w="387" w:type="dxa"/>
            <w:tcBorders>
              <w:right w:val="single" w:sz="4" w:space="0" w:color="A6A6A6" w:themeColor="background1" w:themeShade="A6"/>
            </w:tcBorders>
          </w:tcPr>
          <w:p w:rsidR="00665930" w:rsidRDefault="00665930" w:rsidP="009D14B8">
            <w:pPr>
              <w:jc w:val="left"/>
            </w:pPr>
            <w:r>
              <w:t>1</w:t>
            </w:r>
          </w:p>
        </w:tc>
        <w:tc>
          <w:tcPr>
            <w:tcW w:w="2302" w:type="dxa"/>
            <w:tcBorders>
              <w:left w:val="single" w:sz="4" w:space="0" w:color="A6A6A6" w:themeColor="background1" w:themeShade="A6"/>
            </w:tcBorders>
          </w:tcPr>
          <w:p w:rsidR="00665930" w:rsidRDefault="009D14B8" w:rsidP="009D14B8">
            <w:pPr>
              <w:jc w:val="left"/>
            </w:pPr>
            <w:r>
              <w:t>Airborne transmission</w:t>
            </w:r>
          </w:p>
        </w:tc>
        <w:tc>
          <w:tcPr>
            <w:tcW w:w="1701" w:type="dxa"/>
          </w:tcPr>
          <w:p w:rsidR="00665930" w:rsidRDefault="009D14B8" w:rsidP="009D14B8">
            <w:pPr>
              <w:jc w:val="left"/>
            </w:pPr>
            <w:r>
              <w:t>Students</w:t>
            </w:r>
          </w:p>
        </w:tc>
        <w:tc>
          <w:tcPr>
            <w:tcW w:w="3252" w:type="dxa"/>
          </w:tcPr>
          <w:p w:rsidR="00665930" w:rsidRDefault="009D14B8" w:rsidP="009D14B8">
            <w:pPr>
              <w:jc w:val="left"/>
            </w:pPr>
            <w:r>
              <w:t>Move larger groups to alternative space (state where)</w:t>
            </w:r>
          </w:p>
        </w:tc>
        <w:tc>
          <w:tcPr>
            <w:tcW w:w="1374" w:type="dxa"/>
          </w:tcPr>
          <w:p w:rsidR="00665930" w:rsidRDefault="00665930" w:rsidP="009D14B8">
            <w:pPr>
              <w:jc w:val="left"/>
            </w:pPr>
          </w:p>
        </w:tc>
      </w:tr>
      <w:tr w:rsidR="006650F5" w:rsidTr="00E367A0">
        <w:tc>
          <w:tcPr>
            <w:tcW w:w="387" w:type="dxa"/>
            <w:tcBorders>
              <w:right w:val="single" w:sz="4" w:space="0" w:color="A6A6A6" w:themeColor="background1" w:themeShade="A6"/>
            </w:tcBorders>
          </w:tcPr>
          <w:p w:rsidR="006650F5" w:rsidRDefault="006650F5" w:rsidP="006650F5">
            <w:pPr>
              <w:jc w:val="left"/>
            </w:pPr>
            <w:r>
              <w:t>2</w:t>
            </w:r>
          </w:p>
        </w:tc>
        <w:tc>
          <w:tcPr>
            <w:tcW w:w="2302" w:type="dxa"/>
            <w:tcBorders>
              <w:left w:val="single" w:sz="4" w:space="0" w:color="A6A6A6" w:themeColor="background1" w:themeShade="A6"/>
            </w:tcBorders>
          </w:tcPr>
          <w:p w:rsidR="006650F5" w:rsidRDefault="006650F5" w:rsidP="006650F5">
            <w:pPr>
              <w:jc w:val="left"/>
            </w:pPr>
            <w:r>
              <w:t>Airborne transmission</w:t>
            </w:r>
          </w:p>
        </w:tc>
        <w:tc>
          <w:tcPr>
            <w:tcW w:w="1701" w:type="dxa"/>
          </w:tcPr>
          <w:p w:rsidR="006650F5" w:rsidRDefault="006650F5" w:rsidP="006650F5">
            <w:pPr>
              <w:jc w:val="left"/>
            </w:pPr>
            <w:r>
              <w:t>Vulnerable student(s) adult(s)</w:t>
            </w:r>
          </w:p>
        </w:tc>
        <w:tc>
          <w:tcPr>
            <w:tcW w:w="3252" w:type="dxa"/>
          </w:tcPr>
          <w:p w:rsidR="006650F5" w:rsidRDefault="006650F5" w:rsidP="006650F5">
            <w:pPr>
              <w:jc w:val="left"/>
            </w:pPr>
            <w:r>
              <w:t>Could you provide a facemask or gloves if there are vulnerable participants involved?</w:t>
            </w:r>
          </w:p>
        </w:tc>
        <w:tc>
          <w:tcPr>
            <w:tcW w:w="1374" w:type="dxa"/>
          </w:tcPr>
          <w:p w:rsidR="006650F5" w:rsidRDefault="006650F5" w:rsidP="006650F5">
            <w:pPr>
              <w:jc w:val="left"/>
            </w:pPr>
          </w:p>
        </w:tc>
      </w:tr>
      <w:tr w:rsidR="006650F5" w:rsidTr="00E367A0">
        <w:tc>
          <w:tcPr>
            <w:tcW w:w="387" w:type="dxa"/>
            <w:tcBorders>
              <w:right w:val="single" w:sz="4" w:space="0" w:color="A6A6A6" w:themeColor="background1" w:themeShade="A6"/>
            </w:tcBorders>
          </w:tcPr>
          <w:p w:rsidR="006650F5" w:rsidRDefault="006650F5" w:rsidP="006650F5">
            <w:pPr>
              <w:jc w:val="left"/>
            </w:pPr>
            <w:r>
              <w:t>3</w:t>
            </w:r>
          </w:p>
        </w:tc>
        <w:tc>
          <w:tcPr>
            <w:tcW w:w="2302" w:type="dxa"/>
            <w:tcBorders>
              <w:left w:val="single" w:sz="4" w:space="0" w:color="A6A6A6" w:themeColor="background1" w:themeShade="A6"/>
            </w:tcBorders>
          </w:tcPr>
          <w:p w:rsidR="006650F5" w:rsidRDefault="006650F5" w:rsidP="006650F5">
            <w:pPr>
              <w:jc w:val="left"/>
            </w:pPr>
            <w:r>
              <w:t>Surface transmission</w:t>
            </w:r>
          </w:p>
        </w:tc>
        <w:tc>
          <w:tcPr>
            <w:tcW w:w="1701" w:type="dxa"/>
          </w:tcPr>
          <w:p w:rsidR="006650F5" w:rsidRDefault="006650F5" w:rsidP="006650F5">
            <w:pPr>
              <w:jc w:val="left"/>
            </w:pPr>
            <w:r>
              <w:t>Students</w:t>
            </w:r>
          </w:p>
          <w:p w:rsidR="006650F5" w:rsidRDefault="006650F5" w:rsidP="006650F5">
            <w:pPr>
              <w:jc w:val="left"/>
            </w:pPr>
            <w:r>
              <w:t>Adults</w:t>
            </w:r>
          </w:p>
        </w:tc>
        <w:tc>
          <w:tcPr>
            <w:tcW w:w="3252" w:type="dxa"/>
          </w:tcPr>
          <w:p w:rsidR="006650F5" w:rsidRDefault="006650F5" w:rsidP="006650F5">
            <w:pPr>
              <w:jc w:val="left"/>
            </w:pPr>
            <w:r>
              <w:t>Vocal microphones: controls will depend on type used.  Can they be wiped?  Could singers have their own covers?</w:t>
            </w:r>
          </w:p>
        </w:tc>
        <w:tc>
          <w:tcPr>
            <w:tcW w:w="1374" w:type="dxa"/>
          </w:tcPr>
          <w:p w:rsidR="006650F5" w:rsidRDefault="006650F5" w:rsidP="006650F5">
            <w:pPr>
              <w:jc w:val="left"/>
            </w:pPr>
          </w:p>
        </w:tc>
      </w:tr>
      <w:tr w:rsidR="006650F5" w:rsidTr="00E367A0">
        <w:tc>
          <w:tcPr>
            <w:tcW w:w="387" w:type="dxa"/>
            <w:tcBorders>
              <w:right w:val="single" w:sz="4" w:space="0" w:color="A6A6A6" w:themeColor="background1" w:themeShade="A6"/>
            </w:tcBorders>
          </w:tcPr>
          <w:p w:rsidR="006650F5" w:rsidRDefault="006650F5" w:rsidP="006650F5">
            <w:pPr>
              <w:jc w:val="left"/>
            </w:pPr>
            <w:r>
              <w:t>4</w:t>
            </w:r>
          </w:p>
        </w:tc>
        <w:tc>
          <w:tcPr>
            <w:tcW w:w="2302" w:type="dxa"/>
            <w:tcBorders>
              <w:left w:val="single" w:sz="4" w:space="0" w:color="A6A6A6" w:themeColor="background1" w:themeShade="A6"/>
            </w:tcBorders>
          </w:tcPr>
          <w:p w:rsidR="006650F5" w:rsidRDefault="006650F5" w:rsidP="006650F5">
            <w:pPr>
              <w:jc w:val="left"/>
            </w:pPr>
          </w:p>
        </w:tc>
        <w:tc>
          <w:tcPr>
            <w:tcW w:w="1701" w:type="dxa"/>
          </w:tcPr>
          <w:p w:rsidR="006650F5" w:rsidRDefault="006650F5" w:rsidP="006650F5">
            <w:pPr>
              <w:jc w:val="left"/>
            </w:pPr>
          </w:p>
        </w:tc>
        <w:tc>
          <w:tcPr>
            <w:tcW w:w="3252" w:type="dxa"/>
          </w:tcPr>
          <w:p w:rsidR="006650F5" w:rsidRDefault="006650F5" w:rsidP="006650F5">
            <w:pPr>
              <w:jc w:val="left"/>
            </w:pPr>
          </w:p>
        </w:tc>
        <w:tc>
          <w:tcPr>
            <w:tcW w:w="1374" w:type="dxa"/>
          </w:tcPr>
          <w:p w:rsidR="006650F5" w:rsidRDefault="006650F5" w:rsidP="006650F5">
            <w:pPr>
              <w:jc w:val="left"/>
            </w:pPr>
          </w:p>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E367A0">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E367A0"/>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E367A0"/>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E367A0">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E367A0"/>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E367A0"/>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E367A0">
            <w:pPr>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B11178">
        <w:tc>
          <w:tcPr>
            <w:tcW w:w="1413" w:type="dxa"/>
            <w:tcBorders>
              <w:bottom w:val="nil"/>
            </w:tcBorders>
          </w:tcPr>
          <w:p w:rsidR="00F03843" w:rsidRPr="00665930" w:rsidRDefault="00F03843" w:rsidP="00E367A0">
            <w:pPr>
              <w:rPr>
                <w:b/>
              </w:rPr>
            </w:pPr>
            <w:r w:rsidRPr="00665930">
              <w:rPr>
                <w:b/>
              </w:rPr>
              <w:t>Risk rating:</w:t>
            </w:r>
          </w:p>
        </w:tc>
        <w:tc>
          <w:tcPr>
            <w:tcW w:w="850" w:type="dxa"/>
            <w:shd w:val="clear" w:color="auto" w:fill="009900"/>
          </w:tcPr>
          <w:p w:rsidR="00F03843" w:rsidRPr="00665930" w:rsidRDefault="00F03843" w:rsidP="00E367A0">
            <w:pPr>
              <w:rPr>
                <w:b/>
              </w:rPr>
            </w:pPr>
            <w:r w:rsidRPr="00665930">
              <w:rPr>
                <w:b/>
              </w:rPr>
              <w:t>1-6</w:t>
            </w:r>
          </w:p>
        </w:tc>
        <w:tc>
          <w:tcPr>
            <w:tcW w:w="993" w:type="dxa"/>
            <w:shd w:val="clear" w:color="auto" w:fill="009900"/>
          </w:tcPr>
          <w:p w:rsidR="00F03843" w:rsidRDefault="00F03843" w:rsidP="00E367A0">
            <w:r>
              <w:t>Green</w:t>
            </w:r>
          </w:p>
        </w:tc>
        <w:tc>
          <w:tcPr>
            <w:tcW w:w="5760" w:type="dxa"/>
          </w:tcPr>
          <w:p w:rsidR="00F03843" w:rsidRDefault="00F03843" w:rsidP="00E367A0">
            <w:r>
              <w:t>Monitor to ensure control measures are implemented consistently and that the rating remains valid.</w:t>
            </w:r>
          </w:p>
        </w:tc>
      </w:tr>
      <w:tr w:rsidR="00F03843" w:rsidTr="00B11178">
        <w:tc>
          <w:tcPr>
            <w:tcW w:w="1413" w:type="dxa"/>
            <w:tcBorders>
              <w:top w:val="nil"/>
              <w:bottom w:val="nil"/>
            </w:tcBorders>
          </w:tcPr>
          <w:p w:rsidR="00F03843" w:rsidRDefault="00F03843" w:rsidP="00E367A0"/>
        </w:tc>
        <w:tc>
          <w:tcPr>
            <w:tcW w:w="850" w:type="dxa"/>
            <w:shd w:val="clear" w:color="auto" w:fill="FFBF00"/>
          </w:tcPr>
          <w:p w:rsidR="00F03843" w:rsidRPr="00665930" w:rsidRDefault="00F03843" w:rsidP="00E367A0">
            <w:pPr>
              <w:rPr>
                <w:b/>
              </w:rPr>
            </w:pPr>
            <w:r w:rsidRPr="00665930">
              <w:rPr>
                <w:b/>
              </w:rPr>
              <w:t>8-12</w:t>
            </w:r>
          </w:p>
        </w:tc>
        <w:tc>
          <w:tcPr>
            <w:tcW w:w="993" w:type="dxa"/>
            <w:shd w:val="clear" w:color="auto" w:fill="FFBF00"/>
          </w:tcPr>
          <w:p w:rsidR="00F03843" w:rsidRDefault="00F03843" w:rsidP="00E367A0">
            <w:r>
              <w:t>Amber</w:t>
            </w:r>
          </w:p>
        </w:tc>
        <w:tc>
          <w:tcPr>
            <w:tcW w:w="5760" w:type="dxa"/>
          </w:tcPr>
          <w:p w:rsidR="00F03843" w:rsidRDefault="00F03843" w:rsidP="00E367A0">
            <w:r>
              <w:t>Try to identify additional controls to reduce the risk.  Ensure that control measures are implemented consistently and look to improve by the next review.</w:t>
            </w:r>
          </w:p>
        </w:tc>
      </w:tr>
      <w:tr w:rsidR="00F03843" w:rsidTr="00B11178">
        <w:tc>
          <w:tcPr>
            <w:tcW w:w="1413" w:type="dxa"/>
            <w:tcBorders>
              <w:top w:val="nil"/>
            </w:tcBorders>
          </w:tcPr>
          <w:p w:rsidR="00F03843" w:rsidRDefault="00F03843" w:rsidP="00E367A0"/>
        </w:tc>
        <w:tc>
          <w:tcPr>
            <w:tcW w:w="850" w:type="dxa"/>
            <w:shd w:val="clear" w:color="auto" w:fill="FF0000"/>
          </w:tcPr>
          <w:p w:rsidR="00F03843" w:rsidRPr="00665930" w:rsidRDefault="00F03843" w:rsidP="00E367A0">
            <w:pPr>
              <w:rPr>
                <w:b/>
              </w:rPr>
            </w:pPr>
            <w:r w:rsidRPr="00665930">
              <w:rPr>
                <w:b/>
              </w:rPr>
              <w:t>15</w:t>
            </w:r>
            <w:r w:rsidR="00B11178">
              <w:rPr>
                <w:b/>
              </w:rPr>
              <w:t>-25</w:t>
            </w:r>
          </w:p>
        </w:tc>
        <w:tc>
          <w:tcPr>
            <w:tcW w:w="993" w:type="dxa"/>
            <w:shd w:val="clear" w:color="auto" w:fill="FF0000"/>
          </w:tcPr>
          <w:p w:rsidR="00F03843" w:rsidRDefault="00F03843" w:rsidP="00E367A0">
            <w:r>
              <w:t>Red</w:t>
            </w:r>
          </w:p>
        </w:tc>
        <w:tc>
          <w:tcPr>
            <w:tcW w:w="5760" w:type="dxa"/>
          </w:tcPr>
          <w:p w:rsidR="00F03843" w:rsidRDefault="00F03843" w:rsidP="00E367A0">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lastRenderedPageBreak/>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150FE5" w:rsidRDefault="00B11178" w:rsidP="004C38E8">
      <w:pPr>
        <w:pStyle w:val="GGBullet"/>
        <w:ind w:left="360"/>
      </w:pPr>
      <w:r>
        <w:t>For the purposes of</w:t>
      </w:r>
      <w:r w:rsidR="004C38E8">
        <w:t xml:space="preserve"> Health &amp; Safety, if you have not recorded it, you have not done it.</w:t>
      </w:r>
    </w:p>
    <w:p w:rsidR="00E709CC" w:rsidRDefault="00E709CC"/>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E7B" w:rsidRDefault="00EA3E7B" w:rsidP="0058133B">
      <w:r>
        <w:separator/>
      </w:r>
    </w:p>
  </w:endnote>
  <w:endnote w:type="continuationSeparator" w:id="0">
    <w:p w:rsidR="00EA3E7B" w:rsidRDefault="00EA3E7B"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E7B" w:rsidRDefault="00EA3E7B" w:rsidP="0058133B">
      <w:r>
        <w:separator/>
      </w:r>
    </w:p>
  </w:footnote>
  <w:footnote w:type="continuationSeparator" w:id="0">
    <w:p w:rsidR="00EA3E7B" w:rsidRDefault="00EA3E7B"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B8"/>
    <w:rsid w:val="000447D4"/>
    <w:rsid w:val="00111501"/>
    <w:rsid w:val="00122D14"/>
    <w:rsid w:val="00150FE5"/>
    <w:rsid w:val="002462C3"/>
    <w:rsid w:val="00283340"/>
    <w:rsid w:val="00307118"/>
    <w:rsid w:val="00367B8A"/>
    <w:rsid w:val="003A0D8E"/>
    <w:rsid w:val="004C38E8"/>
    <w:rsid w:val="005561AF"/>
    <w:rsid w:val="0058133B"/>
    <w:rsid w:val="00591923"/>
    <w:rsid w:val="005E3425"/>
    <w:rsid w:val="0065666E"/>
    <w:rsid w:val="006650F5"/>
    <w:rsid w:val="00665930"/>
    <w:rsid w:val="007E2176"/>
    <w:rsid w:val="00976FAB"/>
    <w:rsid w:val="009D14B8"/>
    <w:rsid w:val="00AC4C5D"/>
    <w:rsid w:val="00B11178"/>
    <w:rsid w:val="00BB2896"/>
    <w:rsid w:val="00C33B03"/>
    <w:rsid w:val="00E36FE3"/>
    <w:rsid w:val="00E709CC"/>
    <w:rsid w:val="00E97D73"/>
    <w:rsid w:val="00EA3E7B"/>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74E6F-64E2-4FF7-959D-6945C2D2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B73E-9FA4-4C61-BDFD-FE2273DE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RA.dotx</Template>
  <TotalTime>21</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3</cp:revision>
  <dcterms:created xsi:type="dcterms:W3CDTF">2020-06-04T10:39:00Z</dcterms:created>
  <dcterms:modified xsi:type="dcterms:W3CDTF">2020-06-04T11:32:00Z</dcterms:modified>
</cp:coreProperties>
</file>